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b/>
          <w:bCs/>
          <w:color w:val="1565C0"/>
          <w:sz w:val="36"/>
          <w:szCs w:val="36"/>
        </w:rPr>
        <w:t xml:space="preserve">ADHDのお薬は脳の中でどう働くの？</w:t>
      </w:r>
    </w:p>
    <w:p>
      <w:pPr>
        <w:spacing w:after="300"/>
        <w:jc w:val="center"/>
      </w:pPr>
      <w:r>
        <w:rPr>
          <w:color w:val="666666"/>
          <w:sz w:val="22"/>
          <w:szCs w:val="22"/>
        </w:rPr>
        <w:t xml:space="preserve">―患者さんとご家族のためのやさしい解説―</w:t>
      </w:r>
    </w:p>
    <w:p>
      <w:pPr>
        <w:pStyle w:val="Heading1"/>
        <w:pBdr>
          <w:bottom w:val="single" w:color="1565C0" w:sz="6" w:space="4"/>
        </w:pBdr>
        <w:spacing w:after="150" w:before="300"/>
      </w:pPr>
      <w:r>
        <w:rPr>
          <w:b/>
          <w:bCs/>
          <w:color w:val="1565C0"/>
          <w:sz w:val="28"/>
          <w:szCs w:val="28"/>
        </w:rPr>
        <w:t xml:space="preserve">① 脳の中の「伝言ゲーム」</w:t>
      </w:r>
    </w:p>
    <w:p>
      <w:pPr>
        <w:spacing w:after="120" w:line="320"/>
      </w:pPr>
      <w:r>
        <w:rPr>
          <w:sz w:val="22"/>
          <w:szCs w:val="22"/>
        </w:rPr>
        <w:t xml:space="preserve">私たちの脳は、たくさんの神経細胞（ニューロン）が鎖のようにつながってできています。神経細胞と神経細胞の間には、ほんのわずかな「すきま」があります。これを「シナプス」と呼びます。</w:t>
      </w:r>
    </w:p>
    <w:p>
      <w:pPr>
        <w:spacing w:after="120" w:line="320"/>
      </w:pPr>
      <w:r>
        <w:rPr>
          <w:sz w:val="22"/>
          <w:szCs w:val="22"/>
        </w:rPr>
        <w:t xml:space="preserve">神経細胞は電気信号でメッセージを伝えますが、このすきまは電気を通しません。そこで、メッセージを化学物質に変えて、すきまの向こう側に投げ渡します。この化学物質を「神経伝達物質」と呼びます。ADHDに関係が深いのは、主に「ドパミン」と「ノルアドレナリン」という2つの物質です。</w:t>
      </w:r>
    </w:p>
    <w:p>
      <w:pPr>
        <w:pBdr>
          <w:top w:val="single" w:color="F9A825" w:sz="4"/>
          <w:bottom w:val="single" w:color="F9A825" w:sz="4"/>
          <w:left w:val="single" w:color="F9A825" w:sz="4"/>
          <w:right w:val="single" w:color="F9A825" w:sz="4"/>
        </w:pBdr>
        <w:shd w:fill="FFF8E1" w:val="clear"/>
        <w:spacing w:after="200" w:before="100"/>
      </w:pPr>
      <w:r>
        <w:rPr>
          <w:i/>
          <w:iCs/>
          <w:color w:val="6D4C00"/>
          <w:sz w:val="20"/>
          <w:szCs w:val="20"/>
        </w:rPr>
        <w:t xml:space="preserve">たとえ話：神経細胞Aと神経細胞Bの間に川（シナプス）があり、Aさんが手紙（神経伝達物質）を書いて川の向こうのBさんに投げて渡す、というイメージです。</w:t>
      </w:r>
    </w:p>
    <w:p>
      <w:pPr>
        <w:pStyle w:val="Heading1"/>
        <w:pBdr>
          <w:bottom w:val="single" w:color="1565C0" w:sz="6" w:space="4"/>
        </w:pBdr>
        <w:spacing w:after="150" w:before="300"/>
      </w:pPr>
      <w:r>
        <w:rPr>
          <w:b/>
          <w:bCs/>
          <w:color w:val="1565C0"/>
          <w:sz w:val="28"/>
          <w:szCs w:val="28"/>
        </w:rPr>
        <w:t xml:space="preserve">② ADHDでは何が起きている？</w:t>
      </w:r>
    </w:p>
    <w:p>
      <w:pPr>
        <w:spacing w:after="120" w:line="320"/>
      </w:pPr>
      <w:r>
        <w:rPr>
          <w:sz w:val="22"/>
          <w:szCs w:val="22"/>
        </w:rPr>
        <w:t xml:space="preserve">脳の前のほう（前頭前野）は、注意を持続させたり、衝動を抑えたり、計画を立てたりする「司令塔」の役割を持っています。この司令塔がうまく働くためには、ドパミンとノルアドレナリンが、シナプスというすきまに「ちょうどよい量」だけ、「ちょうどよい時間」だけとどまっている必要があります。</w:t>
      </w:r>
    </w:p>
    <w:p>
      <w:pPr>
        <w:spacing w:after="120" w:line="320"/>
      </w:pPr>
      <w:r>
        <w:rPr>
          <w:sz w:val="22"/>
          <w:szCs w:val="22"/>
        </w:rPr>
        <w:t xml:space="preserve">ADHDでは、この司令塔（前頭前野）でドパミンやノルアドレナリンの働きが弱く、量が不足しがちだったり、すきまに留まっている時間が短かったりすると考えられています。そのため、注意を持続させる・行動にブレーキをかける、といった働きが弱くなりやすいのです。</w:t>
      </w:r>
    </w:p>
    <w:p>
      <w:pPr>
        <w:pStyle w:val="Heading1"/>
        <w:pBdr>
          <w:bottom w:val="single" w:color="1565C0" w:sz="6" w:space="4"/>
        </w:pBdr>
        <w:spacing w:after="150" w:before="300"/>
      </w:pPr>
      <w:r>
        <w:rPr>
          <w:b/>
          <w:bCs/>
          <w:color w:val="1565C0"/>
          <w:sz w:val="28"/>
          <w:szCs w:val="28"/>
        </w:rPr>
        <w:t xml:space="preserve">③ お薬はどこに働きかけるの？</w:t>
      </w:r>
    </w:p>
    <w:p>
      <w:pPr>
        <w:spacing w:after="120" w:line="320"/>
      </w:pPr>
      <w:r>
        <w:rPr>
          <w:sz w:val="22"/>
          <w:szCs w:val="22"/>
        </w:rPr>
        <w:t xml:space="preserve">神経伝達物質（手紙）は、いつまでもすきまに残っているわけではありません。役目を終えると、投げた側の神経細胞がまた回収（再取り込み）して、リサイクルします。ADHDのお薬の多くは、この「回収」の部分に働きかけて、手紙（神経伝達物質）がすきまに長くとどまるようにする、という仕組みを持っています。</w:t>
      </w:r>
    </w:p>
    <w:p>
      <w:pPr>
        <w:pStyle w:val="Heading2"/>
        <w:spacing w:after="100" w:before="200"/>
      </w:pPr>
      <w:r>
        <w:rPr>
          <w:b/>
          <w:bCs/>
          <w:color w:val="2E7D32"/>
          <w:sz w:val="24"/>
          <w:szCs w:val="24"/>
        </w:rPr>
        <w:t xml:space="preserve">● アトモキセチン（ストラテラ）</w:t>
      </w:r>
    </w:p>
    <w:p>
      <w:pPr>
        <w:spacing w:after="120" w:line="320"/>
      </w:pPr>
      <w:r>
        <w:rPr>
          <w:sz w:val="22"/>
          <w:szCs w:val="22"/>
        </w:rPr>
        <w:t xml:space="preserve">アトモキセチンは、「ノルアドレナリン」の回収役（再取り込み口）にふたをする薬です。回収されにくくなった分、ノルアドレナリンがシナプスのすきまに長くとどまり、司令塔（前頭前野）への信号が伝わりやすくなります。</w:t>
      </w:r>
    </w:p>
    <w:p>
      <w:pPr>
        <w:pStyle w:val="ListParagraph"/>
        <w:numPr>
          <w:ilvl w:val="0"/>
          <w:numId w:val="2"/>
        </w:numPr>
        <w:spacing w:after="80" w:line="300"/>
      </w:pPr>
      <w:r>
        <w:rPr>
          <w:sz w:val="22"/>
          <w:szCs w:val="22"/>
        </w:rPr>
        <w:t xml:space="preserve">中枢刺激薬（後述）とは違うグループの薬で、「非刺激薬」と呼ばれます。</w:t>
      </w:r>
    </w:p>
    <w:p>
      <w:pPr>
        <w:pStyle w:val="ListParagraph"/>
        <w:numPr>
          <w:ilvl w:val="0"/>
          <w:numId w:val="2"/>
        </w:numPr>
        <w:spacing w:after="80" w:line="300"/>
      </w:pPr>
      <w:r>
        <w:rPr>
          <w:sz w:val="22"/>
          <w:szCs w:val="22"/>
        </w:rPr>
        <w:t xml:space="preserve">効果がゆっくり現れるのが特徴で、飲み始めてから数週間（1～2か月程度）かけて少しずつ効果が安定していきます。</w:t>
      </w:r>
    </w:p>
    <w:p>
      <w:pPr>
        <w:pStyle w:val="ListParagraph"/>
        <w:numPr>
          <w:ilvl w:val="0"/>
          <w:numId w:val="2"/>
        </w:numPr>
        <w:spacing w:after="80" w:line="300"/>
      </w:pPr>
      <w:r>
        <w:rPr>
          <w:sz w:val="22"/>
          <w:szCs w:val="22"/>
        </w:rPr>
        <w:t xml:space="preserve">血液中の濃度がゆるやかに保たれるため、1日を通して効果が続きやすく、乱用のリスクが低いとされています。</w:t>
      </w:r>
    </w:p>
    <w:p>
      <w:pPr>
        <w:pStyle w:val="Heading2"/>
        <w:spacing w:after="100" w:before="200"/>
      </w:pPr>
      <w:r>
        <w:rPr>
          <w:b/>
          <w:bCs/>
          <w:color w:val="2E7D32"/>
          <w:sz w:val="24"/>
          <w:szCs w:val="24"/>
        </w:rPr>
        <w:t xml:space="preserve">● 中枢刺激薬（メチルフェニデート／リスデキサンフェタミンなど）</w:t>
      </w:r>
    </w:p>
    <w:p>
      <w:pPr>
        <w:spacing w:after="120" w:line="320"/>
      </w:pPr>
      <w:r>
        <w:rPr>
          <w:sz w:val="22"/>
          <w:szCs w:val="22"/>
        </w:rPr>
        <w:t xml:space="preserve">これらの薬は、ドパミンとノルアドレナリンの両方の回収にふたをすることに加えて、神経細胞からこれらの物質がより多く放出されるように促す働きも持っています。効果は服用後1～2時間ほどで現れ、その日のうちに実感しやすいのが特徴です。一方で、効果は薬が体の中にある時間だけに限られます。</w:t>
      </w:r>
    </w:p>
    <w:p>
      <w:pPr>
        <w:pStyle w:val="Heading2"/>
        <w:spacing w:after="100" w:before="200"/>
      </w:pPr>
      <w:r>
        <w:rPr>
          <w:b/>
          <w:bCs/>
          <w:color w:val="2E7D32"/>
          <w:sz w:val="24"/>
          <w:szCs w:val="24"/>
        </w:rPr>
        <w:t xml:space="preserve">● グアンファシン（インチュニブ）</w:t>
      </w:r>
    </w:p>
    <w:p>
      <w:pPr>
        <w:spacing w:after="120" w:line="320"/>
      </w:pPr>
      <w:r>
        <w:rPr>
          <w:sz w:val="22"/>
          <w:szCs w:val="22"/>
        </w:rPr>
        <w:t xml:space="preserve">グアンファシンは、上記の2つとは異なる仕組みです。前頭前野にある「アルファ2A受容体」という、ノルアドレナリンを受け取る側の“受信アンテナ”に直接結びつき、そのアンテナの感度を調整することで司令塔の働きを助けます。回収を邪魔するのではなく、受け取り側に直接働きかけるタイプの薬です。</w:t>
      </w:r>
    </w:p>
    <w:p>
      <w:pPr>
        <w:pStyle w:val="Heading1"/>
        <w:pBdr>
          <w:bottom w:val="single" w:color="1565C0" w:sz="6" w:space="4"/>
        </w:pBdr>
        <w:spacing w:after="150" w:before="300"/>
      </w:pPr>
      <w:r>
        <w:rPr>
          <w:b/>
          <w:bCs/>
          <w:color w:val="1565C0"/>
          <w:sz w:val="28"/>
          <w:szCs w:val="28"/>
        </w:rPr>
        <w:t xml:space="preserve">④ 表でまとめると</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2400"/>
        <w:gridCol w:w="2300"/>
      </w:tblGrid>
      <w:tr>
        <w:trPr>
          <w:tblHeader/>
        </w:trPr>
        <w:tc>
          <w:tcPr>
            <w:tcW w:type="dxa" w:w="2400"/>
            <w:shd w:fill="E8F0FE" w:val="clear"/>
            <w:tcMar>
              <w:top w:type="dxa" w:w="100"/>
              <w:left w:type="dxa" w:w="120"/>
              <w:bottom w:type="dxa" w:w="100"/>
              <w:right w:type="dxa" w:w="120"/>
            </w:tcMar>
          </w:tcPr>
          <w:p>
            <w:r>
              <w:rPr>
                <w:b/>
                <w:bCs/>
                <w:color w:val="1565C0"/>
                <w:sz w:val="20"/>
                <w:szCs w:val="20"/>
              </w:rPr>
              <w:t xml:space="preserve">薬の種類</w:t>
            </w:r>
          </w:p>
        </w:tc>
        <w:tc>
          <w:tcPr>
            <w:tcW w:type="dxa" w:w="2600"/>
            <w:shd w:fill="E8F0FE" w:val="clear"/>
            <w:tcMar>
              <w:top w:type="dxa" w:w="100"/>
              <w:left w:type="dxa" w:w="120"/>
              <w:bottom w:type="dxa" w:w="100"/>
              <w:right w:type="dxa" w:w="120"/>
            </w:tcMar>
          </w:tcPr>
          <w:p>
            <w:r>
              <w:rPr>
                <w:b/>
                <w:bCs/>
                <w:color w:val="1565C0"/>
                <w:sz w:val="20"/>
                <w:szCs w:val="20"/>
              </w:rPr>
              <w:t xml:space="preserve">主な働く場所</w:t>
            </w:r>
          </w:p>
        </w:tc>
        <w:tc>
          <w:tcPr>
            <w:tcW w:type="dxa" w:w="2400"/>
            <w:shd w:fill="E8F0FE" w:val="clear"/>
            <w:tcMar>
              <w:top w:type="dxa" w:w="100"/>
              <w:left w:type="dxa" w:w="120"/>
              <w:bottom w:type="dxa" w:w="100"/>
              <w:right w:type="dxa" w:w="120"/>
            </w:tcMar>
          </w:tcPr>
          <w:p>
            <w:r>
              <w:rPr>
                <w:b/>
                <w:bCs/>
                <w:color w:val="1565C0"/>
                <w:sz w:val="20"/>
                <w:szCs w:val="20"/>
              </w:rPr>
              <w:t xml:space="preserve">効き始め</w:t>
            </w:r>
          </w:p>
        </w:tc>
        <w:tc>
          <w:tcPr>
            <w:tcW w:type="dxa" w:w="2300"/>
            <w:shd w:fill="E8F0FE" w:val="clear"/>
            <w:tcMar>
              <w:top w:type="dxa" w:w="100"/>
              <w:left w:type="dxa" w:w="120"/>
              <w:bottom w:type="dxa" w:w="100"/>
              <w:right w:type="dxa" w:w="120"/>
            </w:tcMar>
          </w:tcPr>
          <w:p>
            <w:r>
              <w:rPr>
                <w:b/>
                <w:bCs/>
                <w:color w:val="1565C0"/>
                <w:sz w:val="20"/>
                <w:szCs w:val="20"/>
              </w:rPr>
              <w:t xml:space="preserve">グループ</w:t>
            </w:r>
          </w:p>
        </w:tc>
      </w:tr>
      <w:tr>
        <w:tc>
          <w:tcPr>
            <w:tcW w:type="dxa" w:w="2400"/>
            <w:shd w:fill="E8F5E9" w:val="clear"/>
            <w:tcMar>
              <w:top w:type="dxa" w:w="100"/>
              <w:left w:type="dxa" w:w="120"/>
              <w:bottom w:type="dxa" w:w="100"/>
              <w:right w:type="dxa" w:w="120"/>
            </w:tcMar>
          </w:tcPr>
          <w:p>
            <w:r>
              <w:rPr>
                <w:b w:val="false"/>
                <w:bCs w:val="false"/>
                <w:sz w:val="20"/>
                <w:szCs w:val="20"/>
              </w:rPr>
              <w:t xml:space="preserve">アトモキセチン</w:t>
            </w:r>
          </w:p>
        </w:tc>
        <w:tc>
          <w:tcPr>
            <w:tcW w:type="dxa" w:w="2600"/>
            <w:shd w:fill="E8F5E9" w:val="clear"/>
            <w:tcMar>
              <w:top w:type="dxa" w:w="100"/>
              <w:left w:type="dxa" w:w="120"/>
              <w:bottom w:type="dxa" w:w="100"/>
              <w:right w:type="dxa" w:w="120"/>
            </w:tcMar>
          </w:tcPr>
          <w:p>
            <w:r>
              <w:rPr>
                <w:b w:val="false"/>
                <w:bCs w:val="false"/>
                <w:sz w:val="20"/>
                <w:szCs w:val="20"/>
              </w:rPr>
              <w:t xml:space="preserve">ノルアドレナリンの回収口にふた</w:t>
            </w:r>
          </w:p>
        </w:tc>
        <w:tc>
          <w:tcPr>
            <w:tcW w:type="dxa" w:w="2400"/>
            <w:shd w:fill="E8F5E9" w:val="clear"/>
            <w:tcMar>
              <w:top w:type="dxa" w:w="100"/>
              <w:left w:type="dxa" w:w="120"/>
              <w:bottom w:type="dxa" w:w="100"/>
              <w:right w:type="dxa" w:w="120"/>
            </w:tcMar>
          </w:tcPr>
          <w:p>
            <w:r>
              <w:rPr>
                <w:b w:val="false"/>
                <w:bCs w:val="false"/>
                <w:sz w:val="20"/>
                <w:szCs w:val="20"/>
              </w:rPr>
              <w:t xml:space="preserve">数週間かけてゆっくり</w:t>
            </w:r>
          </w:p>
        </w:tc>
        <w:tc>
          <w:tcPr>
            <w:tcW w:type="dxa" w:w="2300"/>
            <w:shd w:fill="E8F5E9" w:val="clear"/>
            <w:tcMar>
              <w:top w:type="dxa" w:w="100"/>
              <w:left w:type="dxa" w:w="120"/>
              <w:bottom w:type="dxa" w:w="100"/>
              <w:right w:type="dxa" w:w="120"/>
            </w:tcMar>
          </w:tcPr>
          <w:p>
            <w:r>
              <w:rPr>
                <w:b w:val="false"/>
                <w:bCs w:val="false"/>
                <w:sz w:val="20"/>
                <w:szCs w:val="20"/>
              </w:rPr>
              <w:t xml:space="preserve">非刺激薬</w:t>
            </w:r>
          </w:p>
        </w:tc>
      </w:tr>
      <w:tr>
        <w:tc>
          <w:tcPr>
            <w:tcW w:type="dxa" w:w="2400"/>
            <w:tcMar>
              <w:top w:type="dxa" w:w="100"/>
              <w:left w:type="dxa" w:w="120"/>
              <w:bottom w:type="dxa" w:w="100"/>
              <w:right w:type="dxa" w:w="120"/>
            </w:tcMar>
          </w:tcPr>
          <w:p>
            <w:r>
              <w:rPr>
                <w:b w:val="false"/>
                <w:bCs w:val="false"/>
                <w:sz w:val="20"/>
                <w:szCs w:val="20"/>
              </w:rPr>
              <w:t xml:space="preserve">メチルフェニデートなど</w:t>
            </w:r>
          </w:p>
        </w:tc>
        <w:tc>
          <w:tcPr>
            <w:tcW w:type="dxa" w:w="2600"/>
            <w:tcMar>
              <w:top w:type="dxa" w:w="100"/>
              <w:left w:type="dxa" w:w="120"/>
              <w:bottom w:type="dxa" w:w="100"/>
              <w:right w:type="dxa" w:w="120"/>
            </w:tcMar>
          </w:tcPr>
          <w:p>
            <w:r>
              <w:rPr>
                <w:b w:val="false"/>
                <w:bCs w:val="false"/>
                <w:sz w:val="20"/>
                <w:szCs w:val="20"/>
              </w:rPr>
              <w:t xml:space="preserve">ドパミン・ノルアドレナリンの回収口にふた＋放出を促進</w:t>
            </w:r>
          </w:p>
        </w:tc>
        <w:tc>
          <w:tcPr>
            <w:tcW w:type="dxa" w:w="2400"/>
            <w:tcMar>
              <w:top w:type="dxa" w:w="100"/>
              <w:left w:type="dxa" w:w="120"/>
              <w:bottom w:type="dxa" w:w="100"/>
              <w:right w:type="dxa" w:w="120"/>
            </w:tcMar>
          </w:tcPr>
          <w:p>
            <w:r>
              <w:rPr>
                <w:b w:val="false"/>
                <w:bCs w:val="false"/>
                <w:sz w:val="20"/>
                <w:szCs w:val="20"/>
              </w:rPr>
              <w:t xml:space="preserve">服用後1～2時間</w:t>
            </w:r>
          </w:p>
        </w:tc>
        <w:tc>
          <w:tcPr>
            <w:tcW w:type="dxa" w:w="2300"/>
            <w:tcMar>
              <w:top w:type="dxa" w:w="100"/>
              <w:left w:type="dxa" w:w="120"/>
              <w:bottom w:type="dxa" w:w="100"/>
              <w:right w:type="dxa" w:w="120"/>
            </w:tcMar>
          </w:tcPr>
          <w:p>
            <w:r>
              <w:rPr>
                <w:b w:val="false"/>
                <w:bCs w:val="false"/>
                <w:sz w:val="20"/>
                <w:szCs w:val="20"/>
              </w:rPr>
              <w:t xml:space="preserve">中枢刺激薬</w:t>
            </w:r>
          </w:p>
        </w:tc>
      </w:tr>
      <w:tr>
        <w:tc>
          <w:tcPr>
            <w:tcW w:type="dxa" w:w="2400"/>
            <w:shd w:fill="E8F5E9" w:val="clear"/>
            <w:tcMar>
              <w:top w:type="dxa" w:w="100"/>
              <w:left w:type="dxa" w:w="120"/>
              <w:bottom w:type="dxa" w:w="100"/>
              <w:right w:type="dxa" w:w="120"/>
            </w:tcMar>
          </w:tcPr>
          <w:p>
            <w:r>
              <w:rPr>
                <w:b w:val="false"/>
                <w:bCs w:val="false"/>
                <w:sz w:val="20"/>
                <w:szCs w:val="20"/>
              </w:rPr>
              <w:t xml:space="preserve">グアンファシン</w:t>
            </w:r>
          </w:p>
        </w:tc>
        <w:tc>
          <w:tcPr>
            <w:tcW w:type="dxa" w:w="2600"/>
            <w:shd w:fill="E8F5E9" w:val="clear"/>
            <w:tcMar>
              <w:top w:type="dxa" w:w="100"/>
              <w:left w:type="dxa" w:w="120"/>
              <w:bottom w:type="dxa" w:w="100"/>
              <w:right w:type="dxa" w:w="120"/>
            </w:tcMar>
          </w:tcPr>
          <w:p>
            <w:r>
              <w:rPr>
                <w:b w:val="false"/>
                <w:bCs w:val="false"/>
                <w:sz w:val="20"/>
                <w:szCs w:val="20"/>
              </w:rPr>
              <w:t xml:space="preserve">受け取り側（α2A受容体）に直接作用</w:t>
            </w:r>
          </w:p>
        </w:tc>
        <w:tc>
          <w:tcPr>
            <w:tcW w:type="dxa" w:w="2400"/>
            <w:shd w:fill="E8F5E9" w:val="clear"/>
            <w:tcMar>
              <w:top w:type="dxa" w:w="100"/>
              <w:left w:type="dxa" w:w="120"/>
              <w:bottom w:type="dxa" w:w="100"/>
              <w:right w:type="dxa" w:w="120"/>
            </w:tcMar>
          </w:tcPr>
          <w:p>
            <w:r>
              <w:rPr>
                <w:b w:val="false"/>
                <w:bCs w:val="false"/>
                <w:sz w:val="20"/>
                <w:szCs w:val="20"/>
              </w:rPr>
              <w:t xml:space="preserve">数週間かけてゆっくり</w:t>
            </w:r>
          </w:p>
        </w:tc>
        <w:tc>
          <w:tcPr>
            <w:tcW w:type="dxa" w:w="2300"/>
            <w:shd w:fill="E8F5E9" w:val="clear"/>
            <w:tcMar>
              <w:top w:type="dxa" w:w="100"/>
              <w:left w:type="dxa" w:w="120"/>
              <w:bottom w:type="dxa" w:w="100"/>
              <w:right w:type="dxa" w:w="120"/>
            </w:tcMar>
          </w:tcPr>
          <w:p>
            <w:r>
              <w:rPr>
                <w:b w:val="false"/>
                <w:bCs w:val="false"/>
                <w:sz w:val="20"/>
                <w:szCs w:val="20"/>
              </w:rPr>
              <w:t xml:space="preserve">非刺激薬</w:t>
            </w:r>
          </w:p>
        </w:tc>
      </w:tr>
    </w:tbl>
    <w:p>
      <w:pPr>
        <w:spacing w:before="300"/>
      </w:pPr>
    </w:p>
    <w:p>
      <w:pPr>
        <w:pStyle w:val="Heading1"/>
        <w:pBdr>
          <w:bottom w:val="single" w:color="1565C0" w:sz="6" w:space="4"/>
        </w:pBdr>
        <w:spacing w:after="150" w:before="300"/>
      </w:pPr>
      <w:r>
        <w:rPr>
          <w:b/>
          <w:bCs/>
          <w:color w:val="1565C0"/>
          <w:sz w:val="28"/>
          <w:szCs w:val="28"/>
        </w:rPr>
        <w:t xml:space="preserve">⑤ よくある質問</w:t>
      </w:r>
    </w:p>
    <w:p>
      <w:pPr>
        <w:pStyle w:val="Heading2"/>
        <w:spacing w:after="100" w:before="200"/>
      </w:pPr>
      <w:r>
        <w:rPr>
          <w:b/>
          <w:bCs/>
          <w:color w:val="2E7D32"/>
          <w:sz w:val="24"/>
          <w:szCs w:val="24"/>
        </w:rPr>
        <w:t xml:space="preserve">Q. なぜアトモキセチンは効くまでに時間がかかるの？</w:t>
      </w:r>
    </w:p>
    <w:p>
      <w:pPr>
        <w:spacing w:after="120" w:line="320"/>
      </w:pPr>
      <w:r>
        <w:rPr>
          <w:sz w:val="22"/>
          <w:szCs w:val="22"/>
        </w:rPr>
        <w:t xml:space="preserve">すきまにノルアドレナリンが増えるだけでは十分ではなく、司令塔（前頭前野）の神経細胞がその変化に慣れて、受け取り方を少しずつ調整していく時間が必要だと考えられています。数日で効果が判断できるものではなく、数週間かけて評価することが大切です。</w:t>
      </w:r>
    </w:p>
    <w:p>
      <w:pPr>
        <w:pStyle w:val="Heading2"/>
        <w:spacing w:after="100" w:before="200"/>
      </w:pPr>
      <w:r>
        <w:rPr>
          <w:b/>
          <w:bCs/>
          <w:color w:val="2E7D32"/>
          <w:sz w:val="24"/>
          <w:szCs w:val="24"/>
        </w:rPr>
        <w:t xml:space="preserve">Q. 「くせになる」薬ですか？</w:t>
      </w:r>
    </w:p>
    <w:p>
      <w:pPr>
        <w:spacing w:after="120" w:line="320"/>
      </w:pPr>
      <w:r>
        <w:rPr>
          <w:sz w:val="22"/>
          <w:szCs w:val="22"/>
        </w:rPr>
        <w:t xml:space="preserve">アトモキセチンやグアンファシンは、脳の「報酬系」と呼ばれる快感に関わる回路への直接的な作用が乏しいため、依存やくせになる心配は基本的にありません。中枢刺激薬についても、医師の指示通りに服用している場合の依存リスクは低いとされていますが、管理はより慎重に行われます。</w:t>
      </w:r>
    </w:p>
    <w:p>
      <w:pPr>
        <w:pStyle w:val="Heading2"/>
        <w:spacing w:after="100" w:before="200"/>
      </w:pPr>
      <w:r>
        <w:rPr>
          <w:b/>
          <w:bCs/>
          <w:color w:val="2E7D32"/>
          <w:sz w:val="24"/>
          <w:szCs w:val="24"/>
        </w:rPr>
        <w:t xml:space="preserve">Q. 一生飲み続けないといけないの？</w:t>
      </w:r>
    </w:p>
    <w:p>
      <w:pPr>
        <w:spacing w:after="120" w:line="320"/>
      </w:pPr>
      <w:r>
        <w:rPr>
          <w:sz w:val="22"/>
          <w:szCs w:val="22"/>
        </w:rPr>
        <w:t xml:space="preserve">お薬は、司令塔の働きを助ける「サポート役」です。年齢とともに脳の発達によって症状が和らぐ方もいれば、生活の工夫（環境調整や行動面のサポート）と組み合わせて、必要な時期だけ使う方もいます。続ける・やめるは、主治医と相談しながら決めていくものです。</w:t>
      </w:r>
    </w:p>
    <w:p>
      <w:pPr>
        <w:spacing w:before="300"/>
      </w:pPr>
    </w:p>
    <w:p>
      <w:pPr>
        <w:pBdr>
          <w:top w:val="single" w:color="F9A825" w:sz="4"/>
          <w:bottom w:val="single" w:color="F9A825" w:sz="4"/>
          <w:left w:val="single" w:color="F9A825" w:sz="4"/>
          <w:right w:val="single" w:color="F9A825" w:sz="4"/>
        </w:pBdr>
        <w:shd w:fill="FFF8E1" w:val="clear"/>
        <w:spacing w:after="200" w:before="100"/>
      </w:pPr>
      <w:r>
        <w:rPr>
          <w:i/>
          <w:iCs/>
          <w:color w:val="6D4C00"/>
          <w:sz w:val="20"/>
          <w:szCs w:val="20"/>
        </w:rPr>
        <w:t xml:space="preserve">※本資料は、お薬の仕組みをイメージしていただくための簡略化した説明です。実際の作用は複数の神経伝達物質やその他の因子が複雑に関与しており、個々の患者さんの状態については主治医にご相談ください。</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2026-07-27T01:54:01.108Z</dcterms:created>
  <dcterms:modified xsi:type="dcterms:W3CDTF">2026-07-27T01:54:01.122Z</dcterms:modified>
</cp:coreProperties>
</file>

<file path=docProps/custom.xml><?xml version="1.0" encoding="utf-8"?>
<Properties xmlns="http://schemas.openxmlformats.org/officeDocument/2006/custom-properties" xmlns:vt="http://schemas.openxmlformats.org/officeDocument/2006/docPropsVTypes"/>
</file>